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rPr>
          <w:cantSplit w:val="0"/>
          <w:tblHeader w:val="0"/>
        </w:trP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rPr>
          <w:cantSplit w:val="0"/>
          <w:tblHeader w:val="0"/>
        </w:trP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THÀNH VIÊN HỢP DANH CÔNG TY HỢP DANH</w:t>
      </w:r>
    </w:p>
    <w:p w:rsidR="00000000" w:rsidDel="00000000" w:rsidP="00000000" w:rsidRDefault="00000000" w:rsidRPr="00000000" w14:paraId="0000000F">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thay đổi thành viên công ty TNHH: kê khai Danh sách thành viên công ty TNHH theo Phụ lục I-6 và Danh sách người đại diện theo pháp luật người đại diện theo ủy quyền của thành viên là tổ chức theo Phụ lục I-10 ban hành kèm theo Thông tư số 01/2021/TT-BKHĐT, nếu có.</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thay đổi thành viên hợp danh công ty hợp danh: kê khai Danh sách thành viên hợp danh theo Phụ lục I-9 </w:t>
      </w:r>
      <w:r w:rsidDel="00000000" w:rsidR="00000000" w:rsidRPr="00000000">
        <w:rPr>
          <w:rFonts w:ascii="Arial" w:cs="Arial" w:eastAsia="Arial" w:hAnsi="Arial"/>
          <w:i w:val="1"/>
          <w:sz w:val="20"/>
          <w:szCs w:val="20"/>
          <w:rtl w:val="0"/>
        </w:rPr>
        <w:t xml:space="preserve">(Không kê khai nội dung thông tin về thành viên góp vốn của công ty hợp danh)</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1">
      <w:pPr>
        <w:spacing w:before="120" w:lineRule="auto"/>
        <w:rPr>
          <w:rFonts w:ascii="Arial" w:cs="Arial" w:eastAsia="Arial" w:hAnsi="Arial"/>
          <w:i w:val="1"/>
          <w:sz w:val="20"/>
          <w:szCs w:val="20"/>
        </w:rPr>
      </w:pP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rPr>
          <w:cantSplit w:val="0"/>
          <w:tblHeader w:val="0"/>
        </w:trPr>
        <w:tc>
          <w:tcPr/>
          <w:p w:rsidR="00000000" w:rsidDel="00000000" w:rsidP="00000000" w:rsidRDefault="00000000" w:rsidRPr="00000000" w14:paraId="00000016">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17">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18">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bRlD3jqmMbQDrZLu0LXVui6yqhQ==">AMUW2mWYqlzvW0mBBHhROIw0M9iCG2fq7VchftuzGuKLwcQSj+IxF3+LJjmGkjZH9fs3ebYZJ+kSXAjnG1BjsV0UGcjHv9NdGN1peSctvLLraPCEZTd3vPw=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